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E73" w:rsidRDefault="006E4E73" w:rsidP="006E4E73">
      <w:pPr>
        <w:pStyle w:val="a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E4E73">
        <w:rPr>
          <w:rFonts w:ascii="Times New Roman" w:eastAsia="Times New Roman" w:hAnsi="Times New Roman" w:cs="Times New Roman"/>
          <w:b/>
          <w:sz w:val="28"/>
          <w:szCs w:val="28"/>
        </w:rPr>
        <w:t xml:space="preserve">Отчет КГУ «Отдел ветеринарии </w:t>
      </w:r>
      <w:proofErr w:type="spellStart"/>
      <w:r w:rsidRPr="006E4E73">
        <w:rPr>
          <w:rFonts w:ascii="Times New Roman" w:eastAsia="Times New Roman" w:hAnsi="Times New Roman" w:cs="Times New Roman"/>
          <w:b/>
          <w:sz w:val="28"/>
          <w:szCs w:val="28"/>
        </w:rPr>
        <w:t>акимата</w:t>
      </w:r>
      <w:proofErr w:type="spellEnd"/>
      <w:r w:rsidRPr="006E4E7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E4E73">
        <w:rPr>
          <w:rFonts w:ascii="Times New Roman" w:eastAsia="Times New Roman" w:hAnsi="Times New Roman" w:cs="Times New Roman"/>
          <w:b/>
          <w:sz w:val="28"/>
          <w:szCs w:val="28"/>
        </w:rPr>
        <w:t>Тайыншинского</w:t>
      </w:r>
      <w:proofErr w:type="spellEnd"/>
      <w:r w:rsidRPr="006E4E73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района Северо-Казахстанской области» по вопросам оказания государственных услуг</w:t>
      </w:r>
    </w:p>
    <w:p w:rsidR="006E4E73" w:rsidRPr="006E4E73" w:rsidRDefault="006E4E73" w:rsidP="006E4E73">
      <w:pPr>
        <w:pStyle w:val="a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E4E73" w:rsidRPr="006E4E73" w:rsidRDefault="006E4E73" w:rsidP="006E4E73">
      <w:pPr>
        <w:pStyle w:val="a5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4E73">
        <w:rPr>
          <w:rFonts w:ascii="Times New Roman" w:eastAsia="Times New Roman" w:hAnsi="Times New Roman" w:cs="Times New Roman"/>
          <w:sz w:val="28"/>
          <w:szCs w:val="28"/>
        </w:rPr>
        <w:t xml:space="preserve">КГУ «Отдел ветеринарии </w:t>
      </w:r>
      <w:proofErr w:type="spellStart"/>
      <w:r w:rsidRPr="006E4E73">
        <w:rPr>
          <w:rFonts w:ascii="Times New Roman" w:eastAsia="Times New Roman" w:hAnsi="Times New Roman" w:cs="Times New Roman"/>
          <w:sz w:val="28"/>
          <w:szCs w:val="28"/>
        </w:rPr>
        <w:t>акимата</w:t>
      </w:r>
      <w:proofErr w:type="spellEnd"/>
      <w:r w:rsidRPr="006E4E7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E4E73">
        <w:rPr>
          <w:rFonts w:ascii="Times New Roman" w:eastAsia="Times New Roman" w:hAnsi="Times New Roman" w:cs="Times New Roman"/>
          <w:sz w:val="28"/>
          <w:szCs w:val="28"/>
        </w:rPr>
        <w:t>Тайыншинского</w:t>
      </w:r>
      <w:proofErr w:type="spellEnd"/>
      <w:r w:rsidRPr="006E4E73">
        <w:rPr>
          <w:rFonts w:ascii="Times New Roman" w:eastAsia="Times New Roman" w:hAnsi="Times New Roman" w:cs="Times New Roman"/>
          <w:sz w:val="28"/>
          <w:szCs w:val="28"/>
        </w:rPr>
        <w:t xml:space="preserve"> района Северо-Казахстанской области» за 2016 год оказано 31381 государственных услуг.</w:t>
      </w:r>
    </w:p>
    <w:p w:rsidR="006E4E73" w:rsidRPr="006E4E73" w:rsidRDefault="006E4E73" w:rsidP="006E4E73">
      <w:pPr>
        <w:pStyle w:val="a5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4E73">
        <w:rPr>
          <w:rFonts w:ascii="Times New Roman" w:eastAsia="Times New Roman" w:hAnsi="Times New Roman" w:cs="Times New Roman"/>
          <w:sz w:val="28"/>
          <w:szCs w:val="28"/>
        </w:rPr>
        <w:t>Количество государственных услуг, оказанных в государственном органе (подведомственной организации) за 2016 год — 31381</w:t>
      </w:r>
    </w:p>
    <w:p w:rsidR="006E4E73" w:rsidRPr="006E4E73" w:rsidRDefault="006E4E73" w:rsidP="006E4E73">
      <w:pPr>
        <w:pStyle w:val="a5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4E73">
        <w:rPr>
          <w:rFonts w:ascii="Times New Roman" w:eastAsia="Times New Roman" w:hAnsi="Times New Roman" w:cs="Times New Roman"/>
          <w:color w:val="000000"/>
          <w:sz w:val="28"/>
          <w:szCs w:val="28"/>
        </w:rPr>
        <w:t>количество государственных услуг, оказываемых через центр обслуживания населения — нет</w:t>
      </w:r>
    </w:p>
    <w:p w:rsidR="006E4E73" w:rsidRPr="006E4E73" w:rsidRDefault="006E4E73" w:rsidP="006E4E73">
      <w:pPr>
        <w:pStyle w:val="a5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4E73">
        <w:rPr>
          <w:rFonts w:ascii="Times New Roman" w:eastAsia="Times New Roman" w:hAnsi="Times New Roman" w:cs="Times New Roman"/>
          <w:color w:val="000000"/>
          <w:sz w:val="28"/>
          <w:szCs w:val="28"/>
        </w:rPr>
        <w:t>количество государственных услуг, оказываемых на бесплатной основе —31357, услуг, оказываемых на платной основе — 24 (выдача ветеринарно-санитарного заключения на объекты государственного ветеринарно-санитарного контроля и надзора)</w:t>
      </w:r>
    </w:p>
    <w:p w:rsidR="006E4E73" w:rsidRPr="006E4E73" w:rsidRDefault="006E4E73" w:rsidP="006E4E73">
      <w:pPr>
        <w:pStyle w:val="a5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4E73">
        <w:rPr>
          <w:rFonts w:ascii="Times New Roman" w:eastAsia="Times New Roman" w:hAnsi="Times New Roman" w:cs="Times New Roman"/>
          <w:color w:val="000000"/>
          <w:sz w:val="28"/>
          <w:szCs w:val="28"/>
        </w:rPr>
        <w:t>количество государственных услуг, оказываемых в бумажной форме — 31381</w:t>
      </w:r>
    </w:p>
    <w:p w:rsidR="006E4E73" w:rsidRPr="006E4E73" w:rsidRDefault="006E4E73" w:rsidP="006E4E73">
      <w:pPr>
        <w:pStyle w:val="a5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4E73">
        <w:rPr>
          <w:rFonts w:ascii="Times New Roman" w:eastAsia="Times New Roman" w:hAnsi="Times New Roman" w:cs="Times New Roman"/>
          <w:sz w:val="28"/>
          <w:szCs w:val="28"/>
        </w:rPr>
        <w:t>Наиболее востребованные государственные услуги в отделе ветеринарии выдача ветеринарной справки и проведение идентификации сельскохозяйственных животных с выдачей ветеринарного паспорта.</w:t>
      </w:r>
    </w:p>
    <w:p w:rsidR="006E4E73" w:rsidRPr="006E4E73" w:rsidRDefault="006E4E73" w:rsidP="006E4E73">
      <w:pPr>
        <w:pStyle w:val="a5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4E73">
        <w:rPr>
          <w:rFonts w:ascii="Times New Roman" w:eastAsia="Times New Roman" w:hAnsi="Times New Roman" w:cs="Times New Roman"/>
          <w:sz w:val="28"/>
          <w:szCs w:val="28"/>
        </w:rPr>
        <w:t>Отделом ветеринарии ведется планомерная работа:  проводятся совещания, семинары по разъяснению оказания качественных государственных услуг физическим и юридическим лицам, о возможности их получения через Центры обслуживания населения, анкетирование по всем видам государственных услуг, направленные на обеспечение прозрачности процесса оказания государственных услуг. Проведено 3 совещания. Данная работа публикуется ежеквартально, за указанный период опубликовано 4 статьи в районных газетах «</w:t>
      </w:r>
      <w:proofErr w:type="spellStart"/>
      <w:r w:rsidRPr="006E4E73">
        <w:rPr>
          <w:rFonts w:ascii="Times New Roman" w:eastAsia="Times New Roman" w:hAnsi="Times New Roman" w:cs="Times New Roman"/>
          <w:sz w:val="28"/>
          <w:szCs w:val="28"/>
        </w:rPr>
        <w:t>Тайыншинские</w:t>
      </w:r>
      <w:proofErr w:type="spellEnd"/>
      <w:r w:rsidRPr="006E4E73">
        <w:rPr>
          <w:rFonts w:ascii="Times New Roman" w:eastAsia="Times New Roman" w:hAnsi="Times New Roman" w:cs="Times New Roman"/>
          <w:sz w:val="28"/>
          <w:szCs w:val="28"/>
        </w:rPr>
        <w:t xml:space="preserve"> вести», «</w:t>
      </w:r>
      <w:proofErr w:type="spellStart"/>
      <w:r w:rsidRPr="006E4E73">
        <w:rPr>
          <w:rFonts w:ascii="Times New Roman" w:eastAsia="Times New Roman" w:hAnsi="Times New Roman" w:cs="Times New Roman"/>
          <w:sz w:val="28"/>
          <w:szCs w:val="28"/>
        </w:rPr>
        <w:t>Тайынша</w:t>
      </w:r>
      <w:proofErr w:type="spellEnd"/>
      <w:r w:rsidRPr="006E4E7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E4E73">
        <w:rPr>
          <w:rFonts w:ascii="Times New Roman" w:eastAsia="Times New Roman" w:hAnsi="Times New Roman" w:cs="Times New Roman"/>
          <w:sz w:val="28"/>
          <w:szCs w:val="28"/>
        </w:rPr>
        <w:t>таны</w:t>
      </w:r>
      <w:proofErr w:type="spellEnd"/>
      <w:r w:rsidRPr="006E4E73">
        <w:rPr>
          <w:rFonts w:ascii="Times New Roman" w:eastAsia="Times New Roman" w:hAnsi="Times New Roman" w:cs="Times New Roman"/>
          <w:sz w:val="28"/>
          <w:szCs w:val="28"/>
        </w:rPr>
        <w:t>».  </w:t>
      </w:r>
    </w:p>
    <w:p w:rsidR="006E4E73" w:rsidRPr="006E4E73" w:rsidRDefault="006E4E73" w:rsidP="006E4E73">
      <w:pPr>
        <w:pStyle w:val="a5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4E73">
        <w:rPr>
          <w:rFonts w:ascii="Times New Roman" w:eastAsia="Times New Roman" w:hAnsi="Times New Roman" w:cs="Times New Roman"/>
          <w:sz w:val="28"/>
          <w:szCs w:val="28"/>
        </w:rPr>
        <w:t>В здании отдела ветеринарии имеются обновленные стенды с отображением перечня государственных услуг, основных понятий, общих положений, описания и порядок действия в процессе оказания государственной услуги. Информационные столы с бланками и образцами заявлений расположены в доступном месте для всеобщего обозрения на государственном и русском языках.</w:t>
      </w:r>
    </w:p>
    <w:p w:rsidR="006E4E73" w:rsidRPr="006E4E73" w:rsidRDefault="006E4E73" w:rsidP="006E4E73">
      <w:pPr>
        <w:pStyle w:val="a5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4E73">
        <w:rPr>
          <w:rFonts w:ascii="Times New Roman" w:eastAsia="Times New Roman" w:hAnsi="Times New Roman" w:cs="Times New Roman"/>
          <w:sz w:val="28"/>
          <w:szCs w:val="28"/>
        </w:rPr>
        <w:t>Результатами оптимизации и автоматизации процессов оказания государственных услуг является предоставление государственной услуги на альтернативной основе, как в государственном органе, так и через Центры обслуживания населения. Вопросы повышения качества оказания государственных услуг населению в настоящее время являются важнейшими приоритетами в деятельности государственных органов.</w:t>
      </w:r>
    </w:p>
    <w:p w:rsidR="006E4E73" w:rsidRPr="006E4E73" w:rsidRDefault="006E4E73" w:rsidP="006E4E73">
      <w:pPr>
        <w:pStyle w:val="a5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4E73">
        <w:rPr>
          <w:rFonts w:ascii="Times New Roman" w:eastAsia="Times New Roman" w:hAnsi="Times New Roman" w:cs="Times New Roman"/>
          <w:sz w:val="28"/>
          <w:szCs w:val="28"/>
        </w:rPr>
        <w:t>Жалоб услугополучателей по вопросам оказания государственных услуг не поступало.</w:t>
      </w:r>
    </w:p>
    <w:p w:rsidR="006E4E73" w:rsidRPr="006E4E73" w:rsidRDefault="006E4E73" w:rsidP="006E4E73">
      <w:pPr>
        <w:pStyle w:val="a5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4E73">
        <w:rPr>
          <w:rFonts w:ascii="Times New Roman" w:eastAsia="Times New Roman" w:hAnsi="Times New Roman" w:cs="Times New Roman"/>
          <w:sz w:val="28"/>
          <w:szCs w:val="28"/>
        </w:rPr>
        <w:t xml:space="preserve">Отчет о работе отдела ветеринарии по внутреннему </w:t>
      </w:r>
      <w:proofErr w:type="gramStart"/>
      <w:r w:rsidRPr="006E4E73">
        <w:rPr>
          <w:rFonts w:ascii="Times New Roman" w:eastAsia="Times New Roman" w:hAnsi="Times New Roman" w:cs="Times New Roman"/>
          <w:sz w:val="28"/>
          <w:szCs w:val="28"/>
        </w:rPr>
        <w:t>контролю за</w:t>
      </w:r>
      <w:proofErr w:type="gramEnd"/>
      <w:r w:rsidRPr="006E4E73">
        <w:rPr>
          <w:rFonts w:ascii="Times New Roman" w:eastAsia="Times New Roman" w:hAnsi="Times New Roman" w:cs="Times New Roman"/>
          <w:sz w:val="28"/>
          <w:szCs w:val="28"/>
        </w:rPr>
        <w:t xml:space="preserve"> качеством предоставляемых государственных услуг сдается ежемесячно.</w:t>
      </w:r>
    </w:p>
    <w:p w:rsidR="006E4E73" w:rsidRPr="006E4E73" w:rsidRDefault="006E4E73" w:rsidP="006E4E73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4E73">
        <w:rPr>
          <w:rFonts w:ascii="Times New Roman" w:eastAsia="Times New Roman" w:hAnsi="Times New Roman" w:cs="Times New Roman"/>
          <w:sz w:val="28"/>
          <w:szCs w:val="28"/>
        </w:rPr>
        <w:t>Информация о жалобах услугополучателей по вопросам оказания государственных услуг</w:t>
      </w:r>
    </w:p>
    <w:tbl>
      <w:tblPr>
        <w:tblW w:w="0" w:type="auto"/>
        <w:jc w:val="center"/>
        <w:tblInd w:w="75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783"/>
        <w:gridCol w:w="878"/>
        <w:gridCol w:w="1611"/>
        <w:gridCol w:w="1440"/>
        <w:gridCol w:w="1440"/>
        <w:gridCol w:w="1057"/>
        <w:gridCol w:w="1221"/>
      </w:tblGrid>
      <w:tr w:rsidR="006E4E73" w:rsidRPr="006E4E73" w:rsidTr="006E4E73">
        <w:trPr>
          <w:jc w:val="center"/>
        </w:trPr>
        <w:tc>
          <w:tcPr>
            <w:tcW w:w="0" w:type="auto"/>
            <w:tcBorders>
              <w:top w:val="single" w:sz="6" w:space="0" w:color="3399CC"/>
              <w:left w:val="single" w:sz="6" w:space="0" w:color="3399CC"/>
              <w:bottom w:val="single" w:sz="6" w:space="0" w:color="3399CC"/>
              <w:right w:val="single" w:sz="6" w:space="0" w:color="3399CC"/>
            </w:tcBorders>
            <w:shd w:val="clear" w:color="auto" w:fill="FFEACE"/>
            <w:vAlign w:val="center"/>
            <w:hideMark/>
          </w:tcPr>
          <w:p w:rsidR="006E4E73" w:rsidRPr="006E4E73" w:rsidRDefault="006E4E73" w:rsidP="006E4E73">
            <w:pPr>
              <w:pStyle w:val="a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4E7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Сведения</w:t>
            </w:r>
            <w:r w:rsidRPr="006E4E73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о </w:t>
            </w:r>
            <w:proofErr w:type="spellStart"/>
            <w:r w:rsidRPr="006E4E73">
              <w:rPr>
                <w:rFonts w:ascii="Times New Roman" w:eastAsia="Times New Roman" w:hAnsi="Times New Roman" w:cs="Times New Roman"/>
                <w:sz w:val="28"/>
                <w:szCs w:val="28"/>
              </w:rPr>
              <w:t>заявитележалобы</w:t>
            </w:r>
            <w:proofErr w:type="spellEnd"/>
          </w:p>
        </w:tc>
        <w:tc>
          <w:tcPr>
            <w:tcW w:w="0" w:type="auto"/>
            <w:tcBorders>
              <w:top w:val="single" w:sz="6" w:space="0" w:color="3399CC"/>
              <w:left w:val="single" w:sz="6" w:space="0" w:color="3399CC"/>
              <w:bottom w:val="single" w:sz="6" w:space="0" w:color="3399CC"/>
              <w:right w:val="single" w:sz="6" w:space="0" w:color="3399CC"/>
            </w:tcBorders>
            <w:shd w:val="clear" w:color="auto" w:fill="FFEACE"/>
            <w:vAlign w:val="center"/>
            <w:hideMark/>
          </w:tcPr>
          <w:p w:rsidR="006E4E73" w:rsidRPr="006E4E73" w:rsidRDefault="006E4E73" w:rsidP="006E4E73">
            <w:pPr>
              <w:pStyle w:val="a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4E73">
              <w:rPr>
                <w:rFonts w:ascii="Times New Roman" w:eastAsia="Times New Roman" w:hAnsi="Times New Roman" w:cs="Times New Roman"/>
                <w:sz w:val="28"/>
                <w:szCs w:val="28"/>
              </w:rPr>
              <w:t>Суть</w:t>
            </w:r>
            <w:r w:rsidRPr="006E4E73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жалобы</w:t>
            </w:r>
          </w:p>
        </w:tc>
        <w:tc>
          <w:tcPr>
            <w:tcW w:w="0" w:type="auto"/>
            <w:tcBorders>
              <w:top w:val="single" w:sz="6" w:space="0" w:color="3399CC"/>
              <w:left w:val="single" w:sz="6" w:space="0" w:color="3399CC"/>
              <w:bottom w:val="single" w:sz="6" w:space="0" w:color="3399CC"/>
              <w:right w:val="single" w:sz="6" w:space="0" w:color="3399CC"/>
            </w:tcBorders>
            <w:shd w:val="clear" w:color="auto" w:fill="FFEACE"/>
            <w:vAlign w:val="center"/>
            <w:hideMark/>
          </w:tcPr>
          <w:p w:rsidR="006E4E73" w:rsidRPr="006E4E73" w:rsidRDefault="006E4E73" w:rsidP="006E4E73">
            <w:pPr>
              <w:pStyle w:val="a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4E73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</w:t>
            </w:r>
            <w:r w:rsidRPr="006E4E73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(организация),</w:t>
            </w:r>
            <w:r w:rsidRPr="006E4E73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рассмотревший</w:t>
            </w:r>
            <w:r w:rsidRPr="006E4E73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жалобу и (или)</w:t>
            </w:r>
            <w:r w:rsidRPr="006E4E73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принявший</w:t>
            </w:r>
            <w:r w:rsidRPr="006E4E73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решение</w:t>
            </w:r>
          </w:p>
        </w:tc>
        <w:tc>
          <w:tcPr>
            <w:tcW w:w="0" w:type="auto"/>
            <w:tcBorders>
              <w:top w:val="single" w:sz="6" w:space="0" w:color="3399CC"/>
              <w:left w:val="single" w:sz="6" w:space="0" w:color="3399CC"/>
              <w:bottom w:val="single" w:sz="6" w:space="0" w:color="3399CC"/>
              <w:right w:val="single" w:sz="6" w:space="0" w:color="3399CC"/>
            </w:tcBorders>
            <w:shd w:val="clear" w:color="auto" w:fill="FFEACE"/>
            <w:vAlign w:val="center"/>
            <w:hideMark/>
          </w:tcPr>
          <w:p w:rsidR="006E4E73" w:rsidRPr="006E4E73" w:rsidRDefault="006E4E73" w:rsidP="006E4E73">
            <w:pPr>
              <w:pStyle w:val="a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4E73">
              <w:rPr>
                <w:rFonts w:ascii="Times New Roman" w:eastAsia="Times New Roman" w:hAnsi="Times New Roman" w:cs="Times New Roman"/>
                <w:sz w:val="28"/>
                <w:szCs w:val="28"/>
              </w:rPr>
              <w:t>Дата</w:t>
            </w:r>
            <w:r w:rsidRPr="006E4E73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рассмотрения</w:t>
            </w:r>
          </w:p>
        </w:tc>
        <w:tc>
          <w:tcPr>
            <w:tcW w:w="0" w:type="auto"/>
            <w:tcBorders>
              <w:top w:val="single" w:sz="6" w:space="0" w:color="3399CC"/>
              <w:left w:val="single" w:sz="6" w:space="0" w:color="3399CC"/>
              <w:bottom w:val="single" w:sz="6" w:space="0" w:color="3399CC"/>
              <w:right w:val="single" w:sz="6" w:space="0" w:color="3399CC"/>
            </w:tcBorders>
            <w:shd w:val="clear" w:color="auto" w:fill="FFEACE"/>
            <w:vAlign w:val="center"/>
            <w:hideMark/>
          </w:tcPr>
          <w:p w:rsidR="006E4E73" w:rsidRPr="006E4E73" w:rsidRDefault="006E4E73" w:rsidP="006E4E73">
            <w:pPr>
              <w:pStyle w:val="a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4E73">
              <w:rPr>
                <w:rFonts w:ascii="Times New Roman" w:eastAsia="Times New Roman" w:hAnsi="Times New Roman" w:cs="Times New Roman"/>
                <w:sz w:val="28"/>
                <w:szCs w:val="28"/>
              </w:rPr>
              <w:t>№ документа по итогам рассмотрения жалобы</w:t>
            </w:r>
          </w:p>
        </w:tc>
        <w:tc>
          <w:tcPr>
            <w:tcW w:w="0" w:type="auto"/>
            <w:tcBorders>
              <w:top w:val="single" w:sz="6" w:space="0" w:color="3399CC"/>
              <w:left w:val="single" w:sz="6" w:space="0" w:color="3399CC"/>
              <w:bottom w:val="single" w:sz="6" w:space="0" w:color="3399CC"/>
              <w:right w:val="single" w:sz="6" w:space="0" w:color="3399CC"/>
            </w:tcBorders>
            <w:shd w:val="clear" w:color="auto" w:fill="FFEACE"/>
            <w:vAlign w:val="center"/>
            <w:hideMark/>
          </w:tcPr>
          <w:p w:rsidR="006E4E73" w:rsidRPr="006E4E73" w:rsidRDefault="006E4E73" w:rsidP="006E4E73">
            <w:pPr>
              <w:pStyle w:val="a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4E73">
              <w:rPr>
                <w:rFonts w:ascii="Times New Roman" w:eastAsia="Times New Roman" w:hAnsi="Times New Roman" w:cs="Times New Roman"/>
                <w:sz w:val="28"/>
                <w:szCs w:val="28"/>
              </w:rPr>
              <w:t>Принятое</w:t>
            </w:r>
            <w:r w:rsidRPr="006E4E73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решение</w:t>
            </w:r>
          </w:p>
        </w:tc>
        <w:tc>
          <w:tcPr>
            <w:tcW w:w="0" w:type="auto"/>
            <w:tcBorders>
              <w:top w:val="single" w:sz="6" w:space="0" w:color="3399CC"/>
              <w:left w:val="single" w:sz="6" w:space="0" w:color="3399CC"/>
              <w:bottom w:val="single" w:sz="6" w:space="0" w:color="3399CC"/>
              <w:right w:val="single" w:sz="6" w:space="0" w:color="3399CC"/>
            </w:tcBorders>
            <w:shd w:val="clear" w:color="auto" w:fill="FFEACE"/>
            <w:vAlign w:val="center"/>
            <w:hideMark/>
          </w:tcPr>
          <w:p w:rsidR="006E4E73" w:rsidRPr="006E4E73" w:rsidRDefault="006E4E73" w:rsidP="006E4E73">
            <w:pPr>
              <w:pStyle w:val="a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4E73">
              <w:rPr>
                <w:rFonts w:ascii="Times New Roman" w:eastAsia="Times New Roman" w:hAnsi="Times New Roman" w:cs="Times New Roman"/>
                <w:sz w:val="28"/>
                <w:szCs w:val="28"/>
              </w:rPr>
              <w:t>Сведения о</w:t>
            </w:r>
            <w:r w:rsidRPr="006E4E73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пересмотре</w:t>
            </w:r>
            <w:r w:rsidRPr="006E4E73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принятого</w:t>
            </w:r>
            <w:r w:rsidRPr="006E4E73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решения</w:t>
            </w:r>
          </w:p>
        </w:tc>
      </w:tr>
      <w:tr w:rsidR="006E4E73" w:rsidRPr="006E4E73" w:rsidTr="006E4E73">
        <w:trPr>
          <w:jc w:val="center"/>
        </w:trPr>
        <w:tc>
          <w:tcPr>
            <w:tcW w:w="0" w:type="auto"/>
            <w:tcBorders>
              <w:top w:val="single" w:sz="6" w:space="0" w:color="3399CC"/>
              <w:left w:val="single" w:sz="6" w:space="0" w:color="3399CC"/>
              <w:bottom w:val="single" w:sz="6" w:space="0" w:color="3399CC"/>
              <w:right w:val="single" w:sz="6" w:space="0" w:color="3399CC"/>
            </w:tcBorders>
            <w:shd w:val="clear" w:color="auto" w:fill="FFEACE"/>
            <w:vAlign w:val="center"/>
            <w:hideMark/>
          </w:tcPr>
          <w:p w:rsidR="006E4E73" w:rsidRPr="006E4E73" w:rsidRDefault="006E4E73" w:rsidP="006E4E73">
            <w:pPr>
              <w:pStyle w:val="a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4E7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6" w:space="0" w:color="3399CC"/>
              <w:left w:val="single" w:sz="6" w:space="0" w:color="3399CC"/>
              <w:bottom w:val="single" w:sz="6" w:space="0" w:color="3399CC"/>
              <w:right w:val="single" w:sz="6" w:space="0" w:color="3399CC"/>
            </w:tcBorders>
            <w:shd w:val="clear" w:color="auto" w:fill="FFEACE"/>
            <w:vAlign w:val="center"/>
            <w:hideMark/>
          </w:tcPr>
          <w:p w:rsidR="006E4E73" w:rsidRPr="006E4E73" w:rsidRDefault="006E4E73" w:rsidP="006E4E73">
            <w:pPr>
              <w:pStyle w:val="a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4E73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6" w:space="0" w:color="3399CC"/>
              <w:left w:val="single" w:sz="6" w:space="0" w:color="3399CC"/>
              <w:bottom w:val="single" w:sz="6" w:space="0" w:color="3399CC"/>
              <w:right w:val="single" w:sz="6" w:space="0" w:color="3399CC"/>
            </w:tcBorders>
            <w:shd w:val="clear" w:color="auto" w:fill="FFEACE"/>
            <w:vAlign w:val="center"/>
            <w:hideMark/>
          </w:tcPr>
          <w:p w:rsidR="006E4E73" w:rsidRPr="006E4E73" w:rsidRDefault="006E4E73" w:rsidP="006E4E73">
            <w:pPr>
              <w:pStyle w:val="a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4E73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6" w:space="0" w:color="3399CC"/>
              <w:left w:val="single" w:sz="6" w:space="0" w:color="3399CC"/>
              <w:bottom w:val="single" w:sz="6" w:space="0" w:color="3399CC"/>
              <w:right w:val="single" w:sz="6" w:space="0" w:color="3399CC"/>
            </w:tcBorders>
            <w:shd w:val="clear" w:color="auto" w:fill="FFEACE"/>
            <w:vAlign w:val="center"/>
            <w:hideMark/>
          </w:tcPr>
          <w:p w:rsidR="006E4E73" w:rsidRPr="006E4E73" w:rsidRDefault="006E4E73" w:rsidP="006E4E73">
            <w:pPr>
              <w:pStyle w:val="a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4E73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single" w:sz="6" w:space="0" w:color="3399CC"/>
              <w:left w:val="single" w:sz="6" w:space="0" w:color="3399CC"/>
              <w:bottom w:val="single" w:sz="6" w:space="0" w:color="3399CC"/>
              <w:right w:val="single" w:sz="6" w:space="0" w:color="3399CC"/>
            </w:tcBorders>
            <w:shd w:val="clear" w:color="auto" w:fill="FFEACE"/>
            <w:vAlign w:val="center"/>
            <w:hideMark/>
          </w:tcPr>
          <w:p w:rsidR="006E4E73" w:rsidRPr="006E4E73" w:rsidRDefault="006E4E73" w:rsidP="006E4E73">
            <w:pPr>
              <w:pStyle w:val="a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4E73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sz="6" w:space="0" w:color="3399CC"/>
              <w:left w:val="single" w:sz="6" w:space="0" w:color="3399CC"/>
              <w:bottom w:val="single" w:sz="6" w:space="0" w:color="3399CC"/>
              <w:right w:val="single" w:sz="6" w:space="0" w:color="3399CC"/>
            </w:tcBorders>
            <w:shd w:val="clear" w:color="auto" w:fill="FFEACE"/>
            <w:vAlign w:val="center"/>
            <w:hideMark/>
          </w:tcPr>
          <w:p w:rsidR="006E4E73" w:rsidRPr="006E4E73" w:rsidRDefault="006E4E73" w:rsidP="006E4E73">
            <w:pPr>
              <w:pStyle w:val="a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4E73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sz="6" w:space="0" w:color="3399CC"/>
              <w:left w:val="single" w:sz="6" w:space="0" w:color="3399CC"/>
              <w:bottom w:val="single" w:sz="6" w:space="0" w:color="3399CC"/>
              <w:right w:val="single" w:sz="6" w:space="0" w:color="3399CC"/>
            </w:tcBorders>
            <w:shd w:val="clear" w:color="auto" w:fill="FFEACE"/>
            <w:vAlign w:val="center"/>
            <w:hideMark/>
          </w:tcPr>
          <w:p w:rsidR="006E4E73" w:rsidRPr="006E4E73" w:rsidRDefault="006E4E73" w:rsidP="006E4E73">
            <w:pPr>
              <w:pStyle w:val="a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4E73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6E4E73" w:rsidRPr="006E4E73" w:rsidTr="006E4E73">
        <w:trPr>
          <w:jc w:val="center"/>
        </w:trPr>
        <w:tc>
          <w:tcPr>
            <w:tcW w:w="0" w:type="auto"/>
            <w:tcBorders>
              <w:top w:val="single" w:sz="6" w:space="0" w:color="3399CC"/>
              <w:left w:val="single" w:sz="6" w:space="0" w:color="3399CC"/>
              <w:bottom w:val="single" w:sz="6" w:space="0" w:color="3399CC"/>
              <w:right w:val="single" w:sz="6" w:space="0" w:color="3399CC"/>
            </w:tcBorders>
            <w:vAlign w:val="center"/>
            <w:hideMark/>
          </w:tcPr>
          <w:p w:rsidR="006E4E73" w:rsidRPr="006E4E73" w:rsidRDefault="006E4E73" w:rsidP="006E4E73">
            <w:pPr>
              <w:pStyle w:val="a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4E73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single" w:sz="6" w:space="0" w:color="3399CC"/>
              <w:left w:val="single" w:sz="6" w:space="0" w:color="3399CC"/>
              <w:bottom w:val="single" w:sz="6" w:space="0" w:color="3399CC"/>
              <w:right w:val="single" w:sz="6" w:space="0" w:color="3399CC"/>
            </w:tcBorders>
            <w:vAlign w:val="center"/>
            <w:hideMark/>
          </w:tcPr>
          <w:p w:rsidR="006E4E73" w:rsidRPr="006E4E73" w:rsidRDefault="006E4E73" w:rsidP="006E4E73">
            <w:pPr>
              <w:pStyle w:val="a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4E73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single" w:sz="6" w:space="0" w:color="3399CC"/>
              <w:left w:val="single" w:sz="6" w:space="0" w:color="3399CC"/>
              <w:bottom w:val="single" w:sz="6" w:space="0" w:color="3399CC"/>
              <w:right w:val="single" w:sz="6" w:space="0" w:color="3399CC"/>
            </w:tcBorders>
            <w:vAlign w:val="center"/>
            <w:hideMark/>
          </w:tcPr>
          <w:p w:rsidR="006E4E73" w:rsidRPr="006E4E73" w:rsidRDefault="006E4E73" w:rsidP="006E4E73">
            <w:pPr>
              <w:pStyle w:val="a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4E73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6E4E73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 </w:t>
            </w:r>
          </w:p>
        </w:tc>
        <w:tc>
          <w:tcPr>
            <w:tcW w:w="0" w:type="auto"/>
            <w:tcBorders>
              <w:top w:val="single" w:sz="6" w:space="0" w:color="3399CC"/>
              <w:left w:val="single" w:sz="6" w:space="0" w:color="3399CC"/>
              <w:bottom w:val="single" w:sz="6" w:space="0" w:color="3399CC"/>
              <w:right w:val="single" w:sz="6" w:space="0" w:color="3399CC"/>
            </w:tcBorders>
            <w:vAlign w:val="center"/>
            <w:hideMark/>
          </w:tcPr>
          <w:p w:rsidR="006E4E73" w:rsidRPr="006E4E73" w:rsidRDefault="006E4E73" w:rsidP="006E4E73">
            <w:pPr>
              <w:pStyle w:val="a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4E73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6E4E73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 </w:t>
            </w:r>
          </w:p>
        </w:tc>
        <w:tc>
          <w:tcPr>
            <w:tcW w:w="0" w:type="auto"/>
            <w:tcBorders>
              <w:top w:val="single" w:sz="6" w:space="0" w:color="3399CC"/>
              <w:left w:val="single" w:sz="6" w:space="0" w:color="3399CC"/>
              <w:bottom w:val="single" w:sz="6" w:space="0" w:color="3399CC"/>
              <w:right w:val="single" w:sz="6" w:space="0" w:color="3399CC"/>
            </w:tcBorders>
            <w:vAlign w:val="center"/>
            <w:hideMark/>
          </w:tcPr>
          <w:p w:rsidR="006E4E73" w:rsidRPr="006E4E73" w:rsidRDefault="006E4E73" w:rsidP="006E4E73">
            <w:pPr>
              <w:pStyle w:val="a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4E73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6E4E73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 </w:t>
            </w:r>
          </w:p>
        </w:tc>
        <w:tc>
          <w:tcPr>
            <w:tcW w:w="0" w:type="auto"/>
            <w:tcBorders>
              <w:top w:val="single" w:sz="6" w:space="0" w:color="3399CC"/>
              <w:left w:val="single" w:sz="6" w:space="0" w:color="3399CC"/>
              <w:bottom w:val="single" w:sz="6" w:space="0" w:color="3399CC"/>
              <w:right w:val="single" w:sz="6" w:space="0" w:color="3399CC"/>
            </w:tcBorders>
            <w:vAlign w:val="center"/>
            <w:hideMark/>
          </w:tcPr>
          <w:p w:rsidR="006E4E73" w:rsidRPr="006E4E73" w:rsidRDefault="006E4E73" w:rsidP="006E4E73">
            <w:pPr>
              <w:pStyle w:val="a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4E73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6E4E73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 </w:t>
            </w:r>
          </w:p>
        </w:tc>
        <w:tc>
          <w:tcPr>
            <w:tcW w:w="0" w:type="auto"/>
            <w:tcBorders>
              <w:top w:val="single" w:sz="6" w:space="0" w:color="3399CC"/>
              <w:left w:val="single" w:sz="6" w:space="0" w:color="3399CC"/>
              <w:bottom w:val="single" w:sz="6" w:space="0" w:color="3399CC"/>
              <w:right w:val="single" w:sz="6" w:space="0" w:color="3399CC"/>
            </w:tcBorders>
            <w:vAlign w:val="center"/>
            <w:hideMark/>
          </w:tcPr>
          <w:p w:rsidR="006E4E73" w:rsidRPr="006E4E73" w:rsidRDefault="006E4E73" w:rsidP="006E4E73">
            <w:pPr>
              <w:pStyle w:val="a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4E73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6E4E73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 </w:t>
            </w:r>
          </w:p>
        </w:tc>
      </w:tr>
    </w:tbl>
    <w:p w:rsidR="006E4E73" w:rsidRDefault="006E4E73" w:rsidP="006E4E73">
      <w:pPr>
        <w:pStyle w:val="a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304BB" w:rsidRPr="006E4E73" w:rsidRDefault="00D304BB" w:rsidP="006E4E7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D304BB" w:rsidRPr="006E4E73" w:rsidSect="002179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E6C8F"/>
    <w:multiLevelType w:val="multilevel"/>
    <w:tmpl w:val="0B621A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337712E5"/>
    <w:multiLevelType w:val="multilevel"/>
    <w:tmpl w:val="1764B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E4E73"/>
    <w:rsid w:val="00217964"/>
    <w:rsid w:val="005570D6"/>
    <w:rsid w:val="006E4E73"/>
    <w:rsid w:val="00D304BB"/>
    <w:rsid w:val="00EB7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9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E4E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6E4E73"/>
    <w:rPr>
      <w:b/>
      <w:bCs/>
    </w:rPr>
  </w:style>
  <w:style w:type="paragraph" w:styleId="a5">
    <w:name w:val="No Spacing"/>
    <w:uiPriority w:val="1"/>
    <w:qFormat/>
    <w:rsid w:val="006E4E7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506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416</Words>
  <Characters>2376</Characters>
  <Application>Microsoft Office Word</Application>
  <DocSecurity>0</DocSecurity>
  <Lines>19</Lines>
  <Paragraphs>5</Paragraphs>
  <ScaleCrop>false</ScaleCrop>
  <Company>SPecialiST RePack</Company>
  <LinksUpToDate>false</LinksUpToDate>
  <CharactersWithSpaces>2787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Шибаева Юлия Михайловна</cp:lastModifiedBy>
  <cp:revision>4</cp:revision>
  <dcterms:created xsi:type="dcterms:W3CDTF">2017-04-18T04:27:00Z</dcterms:created>
  <dcterms:modified xsi:type="dcterms:W3CDTF">2017-04-26T09:26:00Z</dcterms:modified>
</cp:coreProperties>
</file>